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02" w:rsidRDefault="000C7602" w:rsidP="00090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dr w:val="nil"/>
          <w:lang w:val="en-GB"/>
        </w:rPr>
      </w:pPr>
    </w:p>
    <w:p w:rsidR="000C7602" w:rsidRDefault="000C7602" w:rsidP="00090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dr w:val="nil"/>
          <w:lang w:val="en-GB"/>
        </w:rPr>
      </w:pPr>
    </w:p>
    <w:p w:rsidR="00090F9F" w:rsidRDefault="00D16353" w:rsidP="00090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dr w:val="nil"/>
          <w:lang w:val="en-GB"/>
        </w:rPr>
      </w:pPr>
      <w:r>
        <w:rPr>
          <w:rFonts w:eastAsia="Arial Unicode MS"/>
          <w:b/>
          <w:bdr w:val="nil"/>
          <w:lang w:val="en-GB"/>
        </w:rPr>
        <w:t xml:space="preserve">Inauguration </w:t>
      </w:r>
      <w:r w:rsidR="000C7602">
        <w:rPr>
          <w:rFonts w:eastAsia="Arial Unicode MS"/>
          <w:b/>
          <w:bdr w:val="nil"/>
          <w:lang w:val="en-GB"/>
        </w:rPr>
        <w:t xml:space="preserve">and </w:t>
      </w:r>
      <w:r w:rsidRPr="00016DA9">
        <w:rPr>
          <w:rFonts w:eastAsia="Arial Unicode MS"/>
          <w:b/>
          <w:bdr w:val="nil"/>
          <w:lang w:val="en-GB"/>
        </w:rPr>
        <w:t>M</w:t>
      </w:r>
      <w:r>
        <w:rPr>
          <w:rFonts w:eastAsia="Arial Unicode MS"/>
          <w:b/>
          <w:bdr w:val="nil"/>
          <w:lang w:val="en-GB"/>
        </w:rPr>
        <w:t>aiden M</w:t>
      </w:r>
      <w:r w:rsidRPr="00016DA9">
        <w:rPr>
          <w:rFonts w:eastAsia="Arial Unicode MS"/>
          <w:b/>
          <w:bdr w:val="nil"/>
          <w:lang w:val="en-GB"/>
        </w:rPr>
        <w:t xml:space="preserve">eeting </w:t>
      </w:r>
      <w:r w:rsidR="000C7602">
        <w:rPr>
          <w:rFonts w:eastAsia="Arial Unicode MS"/>
          <w:b/>
          <w:bdr w:val="nil"/>
          <w:lang w:val="en-GB"/>
        </w:rPr>
        <w:t>of the National Steering Committee for Aflatoxin</w:t>
      </w:r>
      <w:bookmarkStart w:id="0" w:name="_GoBack"/>
      <w:bookmarkEnd w:id="0"/>
      <w:r w:rsidR="000C7602">
        <w:rPr>
          <w:rFonts w:eastAsia="Arial Unicode MS"/>
          <w:b/>
          <w:bdr w:val="nil"/>
          <w:lang w:val="en-GB"/>
        </w:rPr>
        <w:t xml:space="preserve"> Control</w:t>
      </w:r>
    </w:p>
    <w:p w:rsidR="00090F9F" w:rsidRDefault="00AE1A0A" w:rsidP="00090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dr w:val="nil"/>
          <w:lang w:val="en-GB"/>
        </w:rPr>
      </w:pPr>
      <w:r>
        <w:rPr>
          <w:rFonts w:eastAsia="Arial Unicode MS"/>
          <w:b/>
          <w:bdr w:val="nil"/>
          <w:lang w:val="en-GB"/>
        </w:rPr>
        <w:t xml:space="preserve">Date: </w:t>
      </w:r>
      <w:r w:rsidR="00090F9F" w:rsidRPr="00016DA9">
        <w:rPr>
          <w:rFonts w:eastAsia="Arial Unicode MS"/>
          <w:b/>
          <w:bdr w:val="nil"/>
          <w:lang w:val="en-GB"/>
        </w:rPr>
        <w:t>1</w:t>
      </w:r>
      <w:r w:rsidR="000C7602">
        <w:rPr>
          <w:rFonts w:eastAsia="Arial Unicode MS"/>
          <w:b/>
          <w:bdr w:val="nil"/>
          <w:lang w:val="en-GB"/>
        </w:rPr>
        <w:t>2</w:t>
      </w:r>
      <w:r w:rsidR="000C7602" w:rsidRPr="000C7602">
        <w:rPr>
          <w:rFonts w:eastAsia="Arial Unicode MS"/>
          <w:b/>
          <w:bdr w:val="nil"/>
          <w:vertAlign w:val="superscript"/>
          <w:lang w:val="en-GB"/>
        </w:rPr>
        <w:t>th</w:t>
      </w:r>
      <w:r w:rsidR="000C7602">
        <w:rPr>
          <w:rFonts w:eastAsia="Arial Unicode MS"/>
          <w:b/>
          <w:bdr w:val="nil"/>
          <w:lang w:val="en-GB"/>
        </w:rPr>
        <w:t xml:space="preserve"> December,</w:t>
      </w:r>
      <w:r w:rsidR="00090F9F" w:rsidRPr="00016DA9">
        <w:rPr>
          <w:rFonts w:eastAsia="Arial Unicode MS"/>
          <w:b/>
          <w:bdr w:val="nil"/>
          <w:lang w:val="en-GB"/>
        </w:rPr>
        <w:t xml:space="preserve"> 2018</w:t>
      </w:r>
    </w:p>
    <w:p w:rsidR="00FB3946" w:rsidRDefault="00FB3946" w:rsidP="00090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dr w:val="nil"/>
          <w:lang w:val="en-GB"/>
        </w:rPr>
      </w:pPr>
      <w:r>
        <w:rPr>
          <w:rFonts w:eastAsia="Arial Unicode MS"/>
          <w:b/>
          <w:bdr w:val="nil"/>
          <w:lang w:val="en-GB"/>
        </w:rPr>
        <w:t>Time: 9.30 a.m.</w:t>
      </w:r>
    </w:p>
    <w:p w:rsidR="00090F9F" w:rsidRPr="00564FFC" w:rsidRDefault="00AE1A0A" w:rsidP="00090F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bCs/>
          <w:color w:val="000000"/>
          <w:u w:color="000000"/>
          <w:bdr w:val="nil"/>
          <w:lang w:val="en-GB" w:eastAsia="en-GB"/>
        </w:rPr>
      </w:pPr>
      <w:r>
        <w:rPr>
          <w:rFonts w:eastAsia="Calibri"/>
          <w:b/>
          <w:bCs/>
          <w:color w:val="000000"/>
          <w:u w:color="000000"/>
          <w:bdr w:val="nil"/>
          <w:lang w:val="en-GB" w:eastAsia="en-GB"/>
        </w:rPr>
        <w:t xml:space="preserve">Venue: </w:t>
      </w:r>
      <w:r w:rsidR="000C7602">
        <w:rPr>
          <w:rFonts w:eastAsia="Calibri"/>
          <w:b/>
          <w:bCs/>
          <w:color w:val="000000"/>
          <w:u w:color="000000"/>
          <w:bdr w:val="nil"/>
          <w:lang w:val="en-GB" w:eastAsia="en-GB"/>
        </w:rPr>
        <w:t>CSIR-STEPRI Conference Room</w:t>
      </w:r>
      <w:r w:rsidR="00090F9F" w:rsidRPr="00564FFC">
        <w:rPr>
          <w:rFonts w:eastAsia="Calibri"/>
          <w:b/>
          <w:bCs/>
          <w:color w:val="000000"/>
          <w:u w:color="000000"/>
          <w:bdr w:val="nil"/>
          <w:lang w:val="en-GB" w:eastAsia="en-GB"/>
        </w:rPr>
        <w:t xml:space="preserve">, </w:t>
      </w:r>
      <w:r w:rsidR="000C7602">
        <w:rPr>
          <w:rFonts w:eastAsia="Calibri"/>
          <w:b/>
          <w:bCs/>
          <w:color w:val="000000"/>
          <w:u w:color="000000"/>
          <w:bdr w:val="nil"/>
          <w:lang w:val="en-GB" w:eastAsia="en-GB"/>
        </w:rPr>
        <w:t>Accra</w:t>
      </w:r>
    </w:p>
    <w:p w:rsidR="00090F9F" w:rsidRDefault="00090F9F" w:rsidP="00BF3FE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sz w:val="28"/>
          <w:szCs w:val="28"/>
          <w:bdr w:val="nil"/>
          <w:lang w:val="en-GB"/>
        </w:rPr>
      </w:pPr>
    </w:p>
    <w:p w:rsidR="00090F9F" w:rsidRDefault="00090F9F" w:rsidP="00BF3FE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sz w:val="28"/>
          <w:szCs w:val="28"/>
          <w:bdr w:val="nil"/>
          <w:lang w:val="en-GB"/>
        </w:rPr>
      </w:pPr>
    </w:p>
    <w:tbl>
      <w:tblPr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3"/>
        <w:gridCol w:w="8552"/>
      </w:tblGrid>
      <w:tr w:rsidR="00B10941" w:rsidRPr="00564FFC" w:rsidTr="000A6595">
        <w:trPr>
          <w:trHeight w:val="47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B1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center"/>
              <w:outlineLvl w:val="0"/>
              <w:rPr>
                <w:rFonts w:eastAsia="Arial Unicode MS"/>
                <w:i/>
                <w:iCs/>
                <w:color w:val="000000"/>
                <w:u w:color="000000"/>
                <w:bdr w:val="nil"/>
                <w:lang w:val="en-GB" w:eastAsia="en-GB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B109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center"/>
              <w:outlineLvl w:val="2"/>
              <w:rPr>
                <w:rFonts w:eastAsia="Arial Unicode MS"/>
                <w:i/>
                <w:iCs/>
                <w:color w:val="000000"/>
                <w:u w:color="000000"/>
                <w:bdr w:val="nil"/>
                <w:lang w:val="en-GB" w:eastAsia="en-GB"/>
              </w:rPr>
            </w:pPr>
            <w:r w:rsidRPr="00564FFC">
              <w:rPr>
                <w:rFonts w:eastAsia="Calibri"/>
                <w:b/>
                <w:bCs/>
                <w:color w:val="000000"/>
                <w:u w:color="000000"/>
                <w:bdr w:val="nil"/>
                <w:lang w:val="en-GB" w:eastAsia="en-GB"/>
              </w:rPr>
              <w:t>CONCEPT NOTE</w:t>
            </w:r>
          </w:p>
        </w:tc>
      </w:tr>
      <w:tr w:rsidR="00B10941" w:rsidRPr="00564FFC" w:rsidTr="000A6595">
        <w:trPr>
          <w:trHeight w:val="842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FE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eastAsia="Arial Unicode MS"/>
                <w:i/>
                <w:iCs/>
                <w:color w:val="000000"/>
                <w:u w:color="000000"/>
                <w:bdr w:val="nil"/>
                <w:lang w:val="en-GB" w:eastAsia="en-GB"/>
              </w:rPr>
            </w:pPr>
            <w:r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>Title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997E8B" w:rsidP="00B93F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GB"/>
              </w:rPr>
            </w:pPr>
            <w:r w:rsidRPr="00997E8B">
              <w:rPr>
                <w:rFonts w:eastAsia="Arial Unicode MS"/>
                <w:b/>
                <w:bdr w:val="nil"/>
                <w:lang w:val="en-GB"/>
              </w:rPr>
              <w:t>Inauguration and Maiden Meeting of the National Steering Committee for Aflatoxin Control</w:t>
            </w:r>
          </w:p>
        </w:tc>
      </w:tr>
      <w:tr w:rsidR="00B10941" w:rsidRPr="00564FFC" w:rsidTr="00750D50">
        <w:trPr>
          <w:trHeight w:val="4588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B1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center"/>
              <w:outlineLvl w:val="0"/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</w:pPr>
            <w:r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>Background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602" w:rsidRDefault="000C7602" w:rsidP="000C7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lang w:val="en-GB"/>
              </w:rPr>
            </w:pPr>
            <w:r w:rsidRPr="000C7602">
              <w:rPr>
                <w:lang w:val="en-GB"/>
              </w:rPr>
              <w:t xml:space="preserve">Aflatoxins are harmful toxins produced by the fungi </w:t>
            </w:r>
            <w:r w:rsidRPr="000C7602">
              <w:rPr>
                <w:i/>
                <w:lang w:val="en-GB"/>
              </w:rPr>
              <w:t xml:space="preserve">Aspergillus </w:t>
            </w:r>
            <w:proofErr w:type="spellStart"/>
            <w:r w:rsidRPr="000C7602">
              <w:rPr>
                <w:i/>
                <w:lang w:val="en-GB"/>
              </w:rPr>
              <w:t>flavus</w:t>
            </w:r>
            <w:proofErr w:type="spellEnd"/>
            <w:r w:rsidRPr="000C7602">
              <w:rPr>
                <w:i/>
                <w:lang w:val="en-GB"/>
              </w:rPr>
              <w:t xml:space="preserve"> </w:t>
            </w:r>
            <w:r w:rsidRPr="000C7602">
              <w:rPr>
                <w:lang w:val="en-GB"/>
              </w:rPr>
              <w:t>and</w:t>
            </w:r>
            <w:r w:rsidRPr="000C7602">
              <w:rPr>
                <w:i/>
                <w:lang w:val="en-GB"/>
              </w:rPr>
              <w:t xml:space="preserve"> Aspergillus </w:t>
            </w:r>
            <w:proofErr w:type="spellStart"/>
            <w:r w:rsidRPr="000C7602">
              <w:rPr>
                <w:i/>
                <w:lang w:val="en-GB"/>
              </w:rPr>
              <w:t>parasiticus</w:t>
            </w:r>
            <w:proofErr w:type="spellEnd"/>
            <w:r w:rsidRPr="000C7602">
              <w:rPr>
                <w:lang w:val="en-GB"/>
              </w:rPr>
              <w:t xml:space="preserve">. Aflatoxin contamination is widespread throughout Africa where it has been detected in grains such as maize, groundnuts, millet and sorghum as well as animal products </w:t>
            </w:r>
            <w:r w:rsidR="00AE1A0A">
              <w:rPr>
                <w:lang w:val="en-GB"/>
              </w:rPr>
              <w:t>including</w:t>
            </w:r>
            <w:r w:rsidRPr="000C7602">
              <w:rPr>
                <w:lang w:val="en-GB"/>
              </w:rPr>
              <w:t xml:space="preserve"> meat, eggs, poultry, and milk. Humans and animals are exposed to aflatoxin through consumption of contaminated foods and feed. </w:t>
            </w:r>
            <w:r w:rsidR="00AE1A0A">
              <w:rPr>
                <w:lang w:val="en-GB"/>
              </w:rPr>
              <w:t>Exposure to aflatoxins can also occur through inhalation and transmission from mother to child through the placenta and breast milk.</w:t>
            </w:r>
          </w:p>
          <w:p w:rsidR="000C7602" w:rsidRPr="000C7602" w:rsidRDefault="000C7602" w:rsidP="000C7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lang w:val="en-GB"/>
              </w:rPr>
            </w:pPr>
            <w:r w:rsidRPr="000C7602">
              <w:rPr>
                <w:lang w:val="en-GB"/>
              </w:rPr>
              <w:t xml:space="preserve">As of 2010, roughly 5 billion people worldwide were estimated to be exposed to high levels of aflatoxins. </w:t>
            </w:r>
            <w:r w:rsidR="00AE1A0A">
              <w:rPr>
                <w:lang w:val="en-GB"/>
              </w:rPr>
              <w:t>I</w:t>
            </w:r>
            <w:r w:rsidR="00B93F92" w:rsidRPr="000C7602">
              <w:rPr>
                <w:lang w:val="en-GB"/>
              </w:rPr>
              <w:t>n most African countries</w:t>
            </w:r>
            <w:r w:rsidR="00B93F92">
              <w:rPr>
                <w:lang w:val="en-GB"/>
              </w:rPr>
              <w:t>,</w:t>
            </w:r>
            <w:r w:rsidR="00B93F92" w:rsidRPr="000C7602">
              <w:rPr>
                <w:lang w:val="en-GB"/>
              </w:rPr>
              <w:t xml:space="preserve"> </w:t>
            </w:r>
            <w:r w:rsidRPr="000C7602">
              <w:rPr>
                <w:lang w:val="en-GB"/>
              </w:rPr>
              <w:t xml:space="preserve">foods </w:t>
            </w:r>
            <w:r w:rsidR="00AE1A0A">
              <w:rPr>
                <w:lang w:val="en-GB"/>
              </w:rPr>
              <w:t xml:space="preserve">that are highly </w:t>
            </w:r>
            <w:r w:rsidRPr="000C7602">
              <w:rPr>
                <w:lang w:val="en-GB"/>
              </w:rPr>
              <w:t xml:space="preserve">susceptible to aflatoxin contamination are </w:t>
            </w:r>
            <w:r w:rsidR="00B93F92">
              <w:rPr>
                <w:lang w:val="en-GB"/>
              </w:rPr>
              <w:t xml:space="preserve">mostly </w:t>
            </w:r>
            <w:r w:rsidRPr="000C7602">
              <w:rPr>
                <w:lang w:val="en-GB"/>
              </w:rPr>
              <w:t>staples such as maize</w:t>
            </w:r>
            <w:r w:rsidR="00AE1A0A">
              <w:rPr>
                <w:lang w:val="en-GB"/>
              </w:rPr>
              <w:t>,</w:t>
            </w:r>
            <w:r w:rsidRPr="000C7602">
              <w:rPr>
                <w:lang w:val="en-GB"/>
              </w:rPr>
              <w:t xml:space="preserve"> groundnuts</w:t>
            </w:r>
            <w:r w:rsidR="00B93F92">
              <w:rPr>
                <w:lang w:val="en-GB"/>
              </w:rPr>
              <w:t xml:space="preserve"> </w:t>
            </w:r>
            <w:r w:rsidR="00AE1A0A">
              <w:rPr>
                <w:lang w:val="en-GB"/>
              </w:rPr>
              <w:t xml:space="preserve">and sorghum </w:t>
            </w:r>
            <w:r w:rsidR="00B93F92">
              <w:rPr>
                <w:lang w:val="en-GB"/>
              </w:rPr>
              <w:t>that</w:t>
            </w:r>
            <w:r w:rsidRPr="000C7602">
              <w:rPr>
                <w:lang w:val="en-GB"/>
              </w:rPr>
              <w:t xml:space="preserve"> </w:t>
            </w:r>
            <w:r w:rsidR="00B93F92">
              <w:rPr>
                <w:lang w:val="en-GB"/>
              </w:rPr>
              <w:t>are frequently</w:t>
            </w:r>
            <w:r w:rsidRPr="000C7602">
              <w:rPr>
                <w:lang w:val="en-GB"/>
              </w:rPr>
              <w:t xml:space="preserve"> consumed by both humans and animals. </w:t>
            </w:r>
            <w:r w:rsidR="00B93F92">
              <w:rPr>
                <w:lang w:val="en-GB"/>
              </w:rPr>
              <w:t xml:space="preserve">As a result, </w:t>
            </w:r>
            <w:r w:rsidRPr="000C7602">
              <w:rPr>
                <w:lang w:val="en-GB"/>
              </w:rPr>
              <w:t>the toxin</w:t>
            </w:r>
            <w:r w:rsidR="00AE1A0A">
              <w:rPr>
                <w:lang w:val="en-GB"/>
              </w:rPr>
              <w:t>s</w:t>
            </w:r>
            <w:r w:rsidRPr="000C7602">
              <w:rPr>
                <w:lang w:val="en-GB"/>
              </w:rPr>
              <w:t xml:space="preserve"> continues to pose a significant threat to both human and animal health.</w:t>
            </w:r>
          </w:p>
          <w:p w:rsidR="00B93F92" w:rsidRDefault="000C7602" w:rsidP="000C7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lang w:val="en-GB"/>
              </w:rPr>
            </w:pPr>
            <w:r w:rsidRPr="000C7602">
              <w:rPr>
                <w:lang w:val="en-GB"/>
              </w:rPr>
              <w:t>Exposure to high levels of aflatoxin</w:t>
            </w:r>
            <w:r w:rsidR="00AE1A0A">
              <w:rPr>
                <w:lang w:val="en-GB"/>
              </w:rPr>
              <w:t>s</w:t>
            </w:r>
            <w:r w:rsidRPr="000C7602">
              <w:rPr>
                <w:lang w:val="en-GB"/>
              </w:rPr>
              <w:t xml:space="preserve"> results in acute health effects such as </w:t>
            </w:r>
            <w:proofErr w:type="spellStart"/>
            <w:r w:rsidRPr="00AE1A0A">
              <w:rPr>
                <w:lang w:val="en-GB"/>
              </w:rPr>
              <w:t>aflatoxicosis</w:t>
            </w:r>
            <w:proofErr w:type="spellEnd"/>
            <w:r w:rsidRPr="000C7602">
              <w:rPr>
                <w:lang w:val="en-GB"/>
              </w:rPr>
              <w:t xml:space="preserve">, which can </w:t>
            </w:r>
            <w:r w:rsidR="00AE1A0A" w:rsidRPr="000C7602">
              <w:rPr>
                <w:lang w:val="en-GB"/>
              </w:rPr>
              <w:t>cause</w:t>
            </w:r>
            <w:r w:rsidR="00AE1A0A">
              <w:rPr>
                <w:lang w:val="en-GB"/>
              </w:rPr>
              <w:t xml:space="preserve"> internal bleeding and </w:t>
            </w:r>
            <w:r w:rsidRPr="000C7602">
              <w:rPr>
                <w:lang w:val="en-GB"/>
              </w:rPr>
              <w:t xml:space="preserve">death in severe cases. In 2004, 125 people died from </w:t>
            </w:r>
            <w:proofErr w:type="spellStart"/>
            <w:r w:rsidRPr="000C7602">
              <w:rPr>
                <w:lang w:val="en-GB"/>
              </w:rPr>
              <w:t>aflatoxicosis</w:t>
            </w:r>
            <w:proofErr w:type="spellEnd"/>
            <w:r w:rsidRPr="000C7602">
              <w:rPr>
                <w:lang w:val="en-GB"/>
              </w:rPr>
              <w:t xml:space="preserve"> in Kenya</w:t>
            </w:r>
            <w:r w:rsidR="00AE1A0A">
              <w:rPr>
                <w:lang w:val="en-GB"/>
              </w:rPr>
              <w:t>,</w:t>
            </w:r>
            <w:r w:rsidRPr="000C7602">
              <w:rPr>
                <w:lang w:val="en-GB"/>
              </w:rPr>
              <w:t xml:space="preserve"> and as a result</w:t>
            </w:r>
            <w:r w:rsidR="00AE1A0A">
              <w:rPr>
                <w:lang w:val="en-GB"/>
              </w:rPr>
              <w:t>,</w:t>
            </w:r>
            <w:r w:rsidRPr="000C7602">
              <w:rPr>
                <w:lang w:val="en-GB"/>
              </w:rPr>
              <w:t xml:space="preserve"> </w:t>
            </w:r>
            <w:r w:rsidR="00B93F92">
              <w:rPr>
                <w:lang w:val="en-GB"/>
              </w:rPr>
              <w:t xml:space="preserve">the </w:t>
            </w:r>
            <w:r w:rsidR="00AE1A0A">
              <w:rPr>
                <w:lang w:val="en-GB"/>
              </w:rPr>
              <w:t xml:space="preserve">maize stocks, which were heavily </w:t>
            </w:r>
            <w:r w:rsidR="00AE1A0A" w:rsidRPr="000C7602">
              <w:rPr>
                <w:lang w:val="en-GB"/>
              </w:rPr>
              <w:t xml:space="preserve">contaminated </w:t>
            </w:r>
            <w:r w:rsidRPr="000C7602">
              <w:rPr>
                <w:lang w:val="en-GB"/>
              </w:rPr>
              <w:t>were destroyed leading to food losses and food insecurity. Chronic exposure to low levels of aflatoxin over time can result in health problems such as suppression</w:t>
            </w:r>
            <w:r w:rsidR="00B93F92">
              <w:rPr>
                <w:lang w:val="en-GB"/>
              </w:rPr>
              <w:t xml:space="preserve"> of the immune system</w:t>
            </w:r>
            <w:r w:rsidRPr="000C7602">
              <w:rPr>
                <w:lang w:val="en-GB"/>
              </w:rPr>
              <w:t xml:space="preserve">, delayed recovery from kwashiorkor, </w:t>
            </w:r>
            <w:r w:rsidR="00B93F92">
              <w:rPr>
                <w:lang w:val="en-GB"/>
              </w:rPr>
              <w:t xml:space="preserve">stunting, </w:t>
            </w:r>
            <w:r w:rsidRPr="000C7602">
              <w:rPr>
                <w:lang w:val="en-GB"/>
              </w:rPr>
              <w:t xml:space="preserve">impairment of liver function, </w:t>
            </w:r>
            <w:r w:rsidR="00B93F92">
              <w:rPr>
                <w:lang w:val="en-GB"/>
              </w:rPr>
              <w:t xml:space="preserve">and </w:t>
            </w:r>
            <w:r w:rsidRPr="000C7602">
              <w:rPr>
                <w:lang w:val="en-GB"/>
              </w:rPr>
              <w:t xml:space="preserve">liver cancer. </w:t>
            </w:r>
            <w:r w:rsidR="00B93F92">
              <w:rPr>
                <w:lang w:val="en-GB"/>
              </w:rPr>
              <w:t>It is estimated that</w:t>
            </w:r>
            <w:r w:rsidRPr="000C7602">
              <w:rPr>
                <w:lang w:val="en-GB"/>
              </w:rPr>
              <w:t xml:space="preserve"> 30% of all liver cancers are </w:t>
            </w:r>
            <w:r w:rsidR="00B93F92">
              <w:rPr>
                <w:lang w:val="en-GB"/>
              </w:rPr>
              <w:t>caused by</w:t>
            </w:r>
            <w:r w:rsidRPr="000C7602">
              <w:rPr>
                <w:lang w:val="en-GB"/>
              </w:rPr>
              <w:t xml:space="preserve"> aflatoxins. </w:t>
            </w:r>
          </w:p>
          <w:p w:rsidR="000C7602" w:rsidRDefault="000C7602" w:rsidP="000C7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lang w:val="en-GB"/>
              </w:rPr>
            </w:pPr>
            <w:r w:rsidRPr="000C7602">
              <w:rPr>
                <w:lang w:val="en-GB"/>
              </w:rPr>
              <w:t xml:space="preserve">Aflatoxins also pose a barrier to </w:t>
            </w:r>
            <w:r w:rsidR="00CE5B0A">
              <w:rPr>
                <w:lang w:val="en-GB"/>
              </w:rPr>
              <w:t>trade</w:t>
            </w:r>
            <w:r w:rsidRPr="000C7602">
              <w:rPr>
                <w:lang w:val="en-GB"/>
              </w:rPr>
              <w:t xml:space="preserve"> due to the rejection of contaminated products by exporting countries especially the European Union. It is estimated that Africa loses up to $670</w:t>
            </w:r>
            <w:r w:rsidR="00CE5B0A">
              <w:rPr>
                <w:lang w:val="en-GB"/>
              </w:rPr>
              <w:t xml:space="preserve"> </w:t>
            </w:r>
            <w:r w:rsidRPr="000C7602">
              <w:rPr>
                <w:lang w:val="en-GB"/>
              </w:rPr>
              <w:t>m</w:t>
            </w:r>
            <w:r w:rsidR="00CE5B0A">
              <w:rPr>
                <w:lang w:val="en-GB"/>
              </w:rPr>
              <w:t>illion</w:t>
            </w:r>
            <w:r w:rsidRPr="000C7602">
              <w:rPr>
                <w:lang w:val="en-GB"/>
              </w:rPr>
              <w:t xml:space="preserve"> annually due to aflatoxin contamination. In 2004, Ghana was ranked among the </w:t>
            </w:r>
            <w:r w:rsidR="00B93F92" w:rsidRPr="000C7602">
              <w:rPr>
                <w:lang w:val="en-GB"/>
              </w:rPr>
              <w:t xml:space="preserve">top </w:t>
            </w:r>
            <w:r w:rsidRPr="000C7602">
              <w:rPr>
                <w:lang w:val="en-GB"/>
              </w:rPr>
              <w:t>ten countries with the highest number of alert notifications by the European Union’s Rapid Alert System of Food and Feed (RASFF). As a result, the European Commission carried out a mission in Ghana in 2006 to investigate the control measures Ghana has in place for aflatoxin control.</w:t>
            </w:r>
          </w:p>
          <w:p w:rsidR="009909D0" w:rsidRDefault="009909D0" w:rsidP="000C7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lang w:val="en-GB"/>
              </w:rPr>
            </w:pPr>
            <w:r w:rsidRPr="009909D0">
              <w:rPr>
                <w:lang w:val="en-GB"/>
              </w:rPr>
              <w:t xml:space="preserve">Considering the health, </w:t>
            </w:r>
            <w:r>
              <w:rPr>
                <w:lang w:val="en-GB"/>
              </w:rPr>
              <w:t>food security</w:t>
            </w:r>
            <w:r w:rsidRPr="009909D0">
              <w:rPr>
                <w:lang w:val="en-GB"/>
              </w:rPr>
              <w:t xml:space="preserve"> and economic implications of aflatoxin</w:t>
            </w:r>
            <w:r>
              <w:rPr>
                <w:lang w:val="en-GB"/>
              </w:rPr>
              <w:t>s</w:t>
            </w:r>
            <w:r w:rsidRPr="009909D0">
              <w:rPr>
                <w:lang w:val="en-GB"/>
              </w:rPr>
              <w:t xml:space="preserve">, there is an urgent need to put in place a comprehensive strategy to explicitly tackle the problem. Prioritisation of aflatoxin as a major food safety concern has already occurred at the </w:t>
            </w:r>
            <w:r>
              <w:rPr>
                <w:lang w:val="en-GB"/>
              </w:rPr>
              <w:t xml:space="preserve">African </w:t>
            </w:r>
            <w:r w:rsidRPr="009909D0">
              <w:rPr>
                <w:lang w:val="en-GB"/>
              </w:rPr>
              <w:t xml:space="preserve">continental level with the establishment of the Partnership for Aflatoxin Control in Africa (PACA) </w:t>
            </w:r>
            <w:r w:rsidR="00CE5B0A">
              <w:rPr>
                <w:lang w:val="en-GB"/>
              </w:rPr>
              <w:t xml:space="preserve">by the African Union Commission </w:t>
            </w:r>
            <w:r w:rsidRPr="009909D0">
              <w:rPr>
                <w:lang w:val="en-GB"/>
              </w:rPr>
              <w:t xml:space="preserve">during the 7th CAADP Partnership </w:t>
            </w:r>
            <w:r w:rsidRPr="009909D0">
              <w:rPr>
                <w:lang w:val="en-GB"/>
              </w:rPr>
              <w:lastRenderedPageBreak/>
              <w:t xml:space="preserve">Platform meeting </w:t>
            </w:r>
            <w:r w:rsidR="00CE5B0A">
              <w:rPr>
                <w:lang w:val="en-GB"/>
              </w:rPr>
              <w:t xml:space="preserve">held </w:t>
            </w:r>
            <w:r w:rsidRPr="009909D0">
              <w:rPr>
                <w:lang w:val="en-GB"/>
              </w:rPr>
              <w:t>in 2011</w:t>
            </w:r>
            <w:r>
              <w:rPr>
                <w:lang w:val="en-GB"/>
              </w:rPr>
              <w:t>. PACA i</w:t>
            </w:r>
            <w:r w:rsidRPr="009909D0">
              <w:rPr>
                <w:lang w:val="en-GB"/>
              </w:rPr>
              <w:t>s an innovative consortium for coordinating aflatoxin mitigation and management across the agriculture, health and trade sectors. PACA has elaborated a 10-year Strategy (2013-2022) to guide its actions</w:t>
            </w:r>
            <w:r>
              <w:rPr>
                <w:lang w:val="en-GB"/>
              </w:rPr>
              <w:t xml:space="preserve"> for aflatoxin control</w:t>
            </w:r>
            <w:r w:rsidRPr="009909D0">
              <w:rPr>
                <w:lang w:val="en-GB"/>
              </w:rPr>
              <w:t>. At the Sub-Regional level, the ECOWAS Aflatoxin Control Action Plan (ECOACAP) has been developed and adopted</w:t>
            </w:r>
            <w:r>
              <w:rPr>
                <w:lang w:val="en-GB"/>
              </w:rPr>
              <w:t xml:space="preserve"> </w:t>
            </w:r>
            <w:r w:rsidR="00B93F92" w:rsidRPr="00B93F92">
              <w:rPr>
                <w:lang w:val="en-GB"/>
              </w:rPr>
              <w:t xml:space="preserve">by Ministers of Agriculture in </w:t>
            </w:r>
            <w:r w:rsidR="00C013B9">
              <w:rPr>
                <w:lang w:val="en-GB"/>
              </w:rPr>
              <w:t xml:space="preserve">November </w:t>
            </w:r>
            <w:r w:rsidR="00B93F92" w:rsidRPr="00B93F92">
              <w:rPr>
                <w:lang w:val="en-GB"/>
              </w:rPr>
              <w:t>201</w:t>
            </w:r>
            <w:r w:rsidR="00C013B9">
              <w:rPr>
                <w:lang w:val="en-GB"/>
              </w:rPr>
              <w:t xml:space="preserve">5 during the </w:t>
            </w:r>
            <w:r w:rsidR="00750D50" w:rsidRPr="00750D50">
              <w:rPr>
                <w:lang w:val="en-GB"/>
              </w:rPr>
              <w:t xml:space="preserve">Global Forum </w:t>
            </w:r>
            <w:r w:rsidR="00CE5B0A">
              <w:rPr>
                <w:lang w:val="en-GB"/>
              </w:rPr>
              <w:t xml:space="preserve">for </w:t>
            </w:r>
            <w:r w:rsidR="00750D50" w:rsidRPr="00750D50">
              <w:rPr>
                <w:lang w:val="en-GB"/>
              </w:rPr>
              <w:t>Review of Achievements of ECOWAP+10 and 2025 Outlook</w:t>
            </w:r>
            <w:r w:rsidR="00750D50">
              <w:rPr>
                <w:lang w:val="en-GB"/>
              </w:rPr>
              <w:t xml:space="preserve"> </w:t>
            </w:r>
            <w:r w:rsidR="00C013B9">
              <w:rPr>
                <w:lang w:val="en-GB"/>
              </w:rPr>
              <w:t xml:space="preserve">held in </w:t>
            </w:r>
            <w:r w:rsidR="00750D50">
              <w:rPr>
                <w:lang w:val="en-GB"/>
              </w:rPr>
              <w:t xml:space="preserve">Dakar, </w:t>
            </w:r>
            <w:r w:rsidR="00C013B9">
              <w:rPr>
                <w:lang w:val="en-GB"/>
              </w:rPr>
              <w:t>Senegal</w:t>
            </w:r>
            <w:r w:rsidR="00B93F92" w:rsidRPr="00B93F92">
              <w:rPr>
                <w:lang w:val="en-GB"/>
              </w:rPr>
              <w:t xml:space="preserve">. ECOWAS </w:t>
            </w:r>
            <w:r w:rsidR="00C013B9">
              <w:rPr>
                <w:lang w:val="en-GB"/>
              </w:rPr>
              <w:t xml:space="preserve">Member States </w:t>
            </w:r>
            <w:r w:rsidR="00B93F92" w:rsidRPr="00B93F92">
              <w:rPr>
                <w:lang w:val="en-GB"/>
              </w:rPr>
              <w:t xml:space="preserve">are </w:t>
            </w:r>
            <w:r w:rsidR="00CE5B0A">
              <w:rPr>
                <w:lang w:val="en-GB"/>
              </w:rPr>
              <w:t xml:space="preserve">thus </w:t>
            </w:r>
            <w:r w:rsidR="00B93F92" w:rsidRPr="00B93F92">
              <w:rPr>
                <w:lang w:val="en-GB"/>
              </w:rPr>
              <w:t xml:space="preserve">expected to be guided by the Action </w:t>
            </w:r>
            <w:r w:rsidR="00C013B9">
              <w:rPr>
                <w:lang w:val="en-GB"/>
              </w:rPr>
              <w:t>P</w:t>
            </w:r>
            <w:r w:rsidR="00B93F92" w:rsidRPr="00B93F92">
              <w:rPr>
                <w:lang w:val="en-GB"/>
              </w:rPr>
              <w:t xml:space="preserve">lan to develop country-specific </w:t>
            </w:r>
            <w:r w:rsidR="00C013B9">
              <w:rPr>
                <w:lang w:val="en-GB"/>
              </w:rPr>
              <w:t>strategies</w:t>
            </w:r>
            <w:r w:rsidR="00B93F92" w:rsidRPr="00B93F92">
              <w:rPr>
                <w:lang w:val="en-GB"/>
              </w:rPr>
              <w:t xml:space="preserve"> for aflatoxin control. </w:t>
            </w:r>
          </w:p>
          <w:p w:rsidR="009909D0" w:rsidRDefault="009909D0" w:rsidP="000C7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Since its establishment, PACA has held three Partnership Platform meetings</w:t>
            </w:r>
            <w:r w:rsidR="00946349">
              <w:rPr>
                <w:lang w:val="en-GB"/>
              </w:rPr>
              <w:t>. D</w:t>
            </w:r>
            <w:r>
              <w:rPr>
                <w:lang w:val="en-GB"/>
              </w:rPr>
              <w:t>uring the first and second meeting</w:t>
            </w:r>
            <w:r w:rsidR="00A63FC3">
              <w:rPr>
                <w:lang w:val="en-GB"/>
              </w:rPr>
              <w:t>s</w:t>
            </w:r>
            <w:r w:rsidRPr="009909D0">
              <w:rPr>
                <w:lang w:val="en-GB"/>
              </w:rPr>
              <w:t xml:space="preserve"> held in Addis Ababa (2014) and Entebbe (2016) respectively</w:t>
            </w:r>
            <w:r>
              <w:rPr>
                <w:lang w:val="en-GB"/>
              </w:rPr>
              <w:t xml:space="preserve">, country teams were tasked to facilitate the establishment of </w:t>
            </w:r>
            <w:r w:rsidR="00A63FC3">
              <w:rPr>
                <w:lang w:val="en-GB"/>
              </w:rPr>
              <w:t>National Ste</w:t>
            </w:r>
            <w:r w:rsidR="008E42B7">
              <w:rPr>
                <w:lang w:val="en-GB"/>
              </w:rPr>
              <w:t>ering Committees for Aflatoxin C</w:t>
            </w:r>
            <w:r w:rsidR="00A63FC3">
              <w:rPr>
                <w:lang w:val="en-GB"/>
              </w:rPr>
              <w:t xml:space="preserve">ontrol to </w:t>
            </w:r>
            <w:r w:rsidR="008E42B7">
              <w:rPr>
                <w:lang w:val="en-GB"/>
              </w:rPr>
              <w:t xml:space="preserve">ensure </w:t>
            </w:r>
            <w:r w:rsidR="00A63FC3">
              <w:rPr>
                <w:lang w:val="en-GB"/>
              </w:rPr>
              <w:t>prioritis</w:t>
            </w:r>
            <w:r w:rsidR="008E42B7">
              <w:rPr>
                <w:lang w:val="en-GB"/>
              </w:rPr>
              <w:t>ation of</w:t>
            </w:r>
            <w:r w:rsidR="00A63FC3">
              <w:rPr>
                <w:lang w:val="en-GB"/>
              </w:rPr>
              <w:t xml:space="preserve"> aflatoxin control in national policies and programmes.  </w:t>
            </w:r>
          </w:p>
          <w:p w:rsidR="00A76F4A" w:rsidRPr="00564FFC" w:rsidRDefault="00A63FC3" w:rsidP="008E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 line with these, </w:t>
            </w:r>
            <w:r w:rsidR="00DE08D1">
              <w:rPr>
                <w:lang w:val="en-GB"/>
              </w:rPr>
              <w:t>t</w:t>
            </w:r>
            <w:r>
              <w:rPr>
                <w:lang w:val="en-GB"/>
              </w:rPr>
              <w:t xml:space="preserve">he Science and Technology Policy Research Institute, Council for Scientific and Industrial </w:t>
            </w:r>
            <w:r w:rsidR="00DE08D1">
              <w:rPr>
                <w:lang w:val="en-GB"/>
              </w:rPr>
              <w:t>R</w:t>
            </w:r>
            <w:r>
              <w:rPr>
                <w:lang w:val="en-GB"/>
              </w:rPr>
              <w:t>esearch (CSIR-STEPRI) with funding support from AGRA is facilitating the establishment of the National Steering Committee for Aflatoxin Control.</w:t>
            </w:r>
            <w:r w:rsidR="008E42B7">
              <w:rPr>
                <w:lang w:val="en-GB"/>
              </w:rPr>
              <w:t xml:space="preserve"> </w:t>
            </w:r>
          </w:p>
        </w:tc>
      </w:tr>
      <w:tr w:rsidR="00B10941" w:rsidRPr="00564FFC" w:rsidTr="00052BEF">
        <w:trPr>
          <w:trHeight w:val="1201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B1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center"/>
              <w:outlineLvl w:val="0"/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</w:pPr>
            <w:r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lastRenderedPageBreak/>
              <w:t>Purpose and Objectives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DB3" w:rsidRDefault="00B10941" w:rsidP="00C762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 w:rsidRPr="00564FFC">
              <w:rPr>
                <w:rFonts w:eastAsia="Arial Unicode MS"/>
                <w:bdr w:val="nil"/>
                <w:lang w:val="en-GB"/>
              </w:rPr>
              <w:t xml:space="preserve">The </w:t>
            </w:r>
            <w:r w:rsidR="00DE08D1">
              <w:rPr>
                <w:rFonts w:eastAsia="Arial Unicode MS"/>
                <w:bdr w:val="nil"/>
                <w:lang w:val="en-GB"/>
              </w:rPr>
              <w:t>objectives</w:t>
            </w:r>
            <w:r w:rsidRPr="00564FFC">
              <w:rPr>
                <w:rFonts w:eastAsia="Arial Unicode MS"/>
                <w:bdr w:val="nil"/>
                <w:lang w:val="en-GB"/>
              </w:rPr>
              <w:t xml:space="preserve"> of this </w:t>
            </w:r>
            <w:r w:rsidR="00DE08D1">
              <w:rPr>
                <w:rFonts w:eastAsia="Arial Unicode MS"/>
                <w:bdr w:val="nil"/>
                <w:lang w:val="en-GB"/>
              </w:rPr>
              <w:t>meeting</w:t>
            </w:r>
            <w:r w:rsidR="009B6DB3">
              <w:rPr>
                <w:rFonts w:eastAsia="Arial Unicode MS"/>
                <w:bdr w:val="nil"/>
                <w:lang w:val="en-GB"/>
              </w:rPr>
              <w:t xml:space="preserve"> </w:t>
            </w:r>
            <w:r w:rsidR="00DE08D1">
              <w:rPr>
                <w:rFonts w:eastAsia="Arial Unicode MS"/>
                <w:bdr w:val="nil"/>
                <w:lang w:val="en-GB"/>
              </w:rPr>
              <w:t xml:space="preserve">are </w:t>
            </w:r>
            <w:r w:rsidR="009B6DB3">
              <w:rPr>
                <w:rFonts w:eastAsia="Arial Unicode MS"/>
                <w:bdr w:val="nil"/>
                <w:lang w:val="en-GB"/>
              </w:rPr>
              <w:t xml:space="preserve">to </w:t>
            </w:r>
          </w:p>
          <w:p w:rsidR="00DE08D1" w:rsidRPr="00DE08D1" w:rsidRDefault="00DE08D1" w:rsidP="008E42B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 w:rsidRPr="00DE08D1">
              <w:rPr>
                <w:rFonts w:eastAsia="Arial Unicode MS"/>
                <w:bdr w:val="nil"/>
                <w:lang w:val="en-GB"/>
              </w:rPr>
              <w:t xml:space="preserve">Provide a platform for members of </w:t>
            </w:r>
            <w:r w:rsidR="008E42B7">
              <w:rPr>
                <w:rFonts w:eastAsia="Arial Unicode MS"/>
                <w:bdr w:val="nil"/>
                <w:lang w:val="en-GB"/>
              </w:rPr>
              <w:t xml:space="preserve">the </w:t>
            </w:r>
            <w:r w:rsidR="008E42B7" w:rsidRPr="008E42B7">
              <w:rPr>
                <w:rFonts w:eastAsia="Arial Unicode MS"/>
                <w:bdr w:val="nil"/>
                <w:lang w:val="en-GB"/>
              </w:rPr>
              <w:t xml:space="preserve">National Steering Committee for Aflatoxin Control </w:t>
            </w:r>
            <w:r w:rsidRPr="00DE08D1">
              <w:rPr>
                <w:rFonts w:eastAsia="Arial Unicode MS"/>
                <w:bdr w:val="nil"/>
                <w:lang w:val="en-GB"/>
              </w:rPr>
              <w:t xml:space="preserve">to get acquainted with one another </w:t>
            </w:r>
          </w:p>
          <w:p w:rsidR="00997E8B" w:rsidRDefault="00997E8B" w:rsidP="00DE08D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 w:rsidRPr="00DE08D1">
              <w:rPr>
                <w:rFonts w:eastAsia="Arial Unicode MS"/>
                <w:bdr w:val="nil"/>
                <w:lang w:val="en-GB"/>
              </w:rPr>
              <w:t xml:space="preserve">Inaugurate the committee </w:t>
            </w:r>
          </w:p>
          <w:p w:rsidR="00DE08D1" w:rsidRPr="00DE08D1" w:rsidRDefault="00DE08D1" w:rsidP="00DE08D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 w:rsidRPr="00DE08D1">
              <w:rPr>
                <w:rFonts w:eastAsia="Arial Unicode MS"/>
                <w:bdr w:val="nil"/>
                <w:lang w:val="en-GB"/>
              </w:rPr>
              <w:t>Propose and elect executive positions of the committee</w:t>
            </w:r>
          </w:p>
          <w:p w:rsidR="00B10941" w:rsidRPr="009B6DB3" w:rsidRDefault="00DE08D1" w:rsidP="00997E8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GB"/>
              </w:rPr>
            </w:pPr>
            <w:r w:rsidRPr="00DE08D1">
              <w:rPr>
                <w:rFonts w:eastAsia="Arial Unicode MS"/>
                <w:bdr w:val="nil"/>
                <w:lang w:val="en-GB"/>
              </w:rPr>
              <w:t>Develop the term</w:t>
            </w:r>
            <w:r w:rsidR="00997E8B">
              <w:rPr>
                <w:rFonts w:eastAsia="Arial Unicode MS"/>
                <w:bdr w:val="nil"/>
                <w:lang w:val="en-GB"/>
              </w:rPr>
              <w:t>s of reference for the committe</w:t>
            </w:r>
            <w:r w:rsidR="00BE1022">
              <w:rPr>
                <w:rFonts w:eastAsia="Arial Unicode MS"/>
                <w:bdr w:val="nil"/>
                <w:lang w:val="en-GB"/>
              </w:rPr>
              <w:t>e.</w:t>
            </w:r>
          </w:p>
        </w:tc>
      </w:tr>
      <w:tr w:rsidR="00B10941" w:rsidRPr="00564FFC" w:rsidTr="000A6595">
        <w:trPr>
          <w:trHeight w:val="145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B1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center"/>
              <w:outlineLvl w:val="0"/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</w:pPr>
            <w:r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>Outputs and Outcomes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C762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 w:rsidRPr="00564FFC">
              <w:rPr>
                <w:rFonts w:eastAsia="Arial Unicode MS"/>
                <w:bdr w:val="nil"/>
                <w:lang w:val="en-GB"/>
              </w:rPr>
              <w:t xml:space="preserve">The following outputs are expected from this activity: </w:t>
            </w:r>
          </w:p>
          <w:p w:rsidR="0020503D" w:rsidRDefault="00DE08D1" w:rsidP="00964CD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jc w:val="both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Better insights into the aflatoxin problem </w:t>
            </w:r>
          </w:p>
          <w:p w:rsidR="0020503D" w:rsidRPr="0020503D" w:rsidRDefault="00DE08D1" w:rsidP="00F313B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jc w:val="both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Term</w:t>
            </w:r>
            <w:r w:rsidR="008E42B7">
              <w:rPr>
                <w:rFonts w:eastAsiaTheme="minorHAnsi"/>
                <w:lang w:val="en-GB"/>
              </w:rPr>
              <w:t>s</w:t>
            </w:r>
            <w:r>
              <w:rPr>
                <w:rFonts w:eastAsiaTheme="minorHAnsi"/>
                <w:lang w:val="en-GB"/>
              </w:rPr>
              <w:t xml:space="preserve"> of reference for the committee</w:t>
            </w:r>
          </w:p>
          <w:p w:rsidR="00DE08D1" w:rsidRDefault="00DE08D1" w:rsidP="00F313B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jc w:val="both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Elected executives for the Committee</w:t>
            </w:r>
          </w:p>
          <w:p w:rsidR="00052BEF" w:rsidRPr="00564FFC" w:rsidRDefault="00DE08D1" w:rsidP="00F313B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jc w:val="both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Committee inaugurated and ready to start work </w:t>
            </w:r>
          </w:p>
        </w:tc>
      </w:tr>
      <w:tr w:rsidR="0020503D" w:rsidRPr="00564FFC" w:rsidTr="000A6595">
        <w:trPr>
          <w:trHeight w:val="145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03D" w:rsidRPr="00564FFC" w:rsidRDefault="0020503D" w:rsidP="00B1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center"/>
              <w:outlineLvl w:val="0"/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</w:pPr>
            <w:r w:rsidRPr="0020503D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>Approach and Activities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03D" w:rsidRPr="0020503D" w:rsidRDefault="0020503D" w:rsidP="002050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 w:rsidRPr="0020503D">
              <w:rPr>
                <w:rFonts w:eastAsia="Arial Unicode MS"/>
                <w:bdr w:val="nil"/>
                <w:lang w:val="en-GB"/>
              </w:rPr>
              <w:t xml:space="preserve">The meeting will consist of the following activities </w:t>
            </w:r>
          </w:p>
          <w:p w:rsidR="00DE08D1" w:rsidRDefault="008E42B7" w:rsidP="00C7599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>
              <w:rPr>
                <w:rFonts w:eastAsia="Arial Unicode MS"/>
                <w:bdr w:val="nil"/>
                <w:lang w:val="en-GB"/>
              </w:rPr>
              <w:t>O</w:t>
            </w:r>
            <w:r w:rsidR="0020503D" w:rsidRPr="00DE08D1">
              <w:rPr>
                <w:rFonts w:eastAsia="Arial Unicode MS"/>
                <w:bdr w:val="nil"/>
                <w:lang w:val="en-GB"/>
              </w:rPr>
              <w:t xml:space="preserve">pening </w:t>
            </w:r>
            <w:r>
              <w:rPr>
                <w:rFonts w:eastAsia="Arial Unicode MS"/>
                <w:bdr w:val="nil"/>
                <w:lang w:val="en-GB"/>
              </w:rPr>
              <w:t>statements</w:t>
            </w:r>
            <w:r w:rsidR="0020503D" w:rsidRPr="00DE08D1">
              <w:rPr>
                <w:rFonts w:eastAsia="Arial Unicode MS"/>
                <w:bdr w:val="nil"/>
                <w:lang w:val="en-GB"/>
              </w:rPr>
              <w:t xml:space="preserve"> by </w:t>
            </w:r>
            <w:r w:rsidR="00DE08D1" w:rsidRPr="00DE08D1">
              <w:rPr>
                <w:rFonts w:eastAsia="Arial Unicode MS"/>
                <w:bdr w:val="nil"/>
                <w:lang w:val="en-GB"/>
              </w:rPr>
              <w:t>the Director of CSIR-STEPRI</w:t>
            </w:r>
            <w:r w:rsidR="00D16353">
              <w:rPr>
                <w:rFonts w:eastAsia="Arial Unicode MS"/>
                <w:bdr w:val="nil"/>
                <w:lang w:val="en-GB"/>
              </w:rPr>
              <w:t>,</w:t>
            </w:r>
            <w:r>
              <w:rPr>
                <w:rFonts w:eastAsia="Arial Unicode MS"/>
                <w:bdr w:val="nil"/>
                <w:lang w:val="en-GB"/>
              </w:rPr>
              <w:t xml:space="preserve"> and</w:t>
            </w:r>
            <w:r w:rsidR="00D16353">
              <w:rPr>
                <w:rFonts w:eastAsia="Arial Unicode MS"/>
                <w:bdr w:val="nil"/>
                <w:lang w:val="en-GB"/>
              </w:rPr>
              <w:t xml:space="preserve"> Director General of CSIR</w:t>
            </w:r>
            <w:r w:rsidR="00DE08D1" w:rsidRPr="00DE08D1">
              <w:rPr>
                <w:rFonts w:eastAsia="Arial Unicode MS"/>
                <w:bdr w:val="nil"/>
                <w:lang w:val="en-GB"/>
              </w:rPr>
              <w:t xml:space="preserve"> </w:t>
            </w:r>
          </w:p>
          <w:p w:rsidR="00016DA9" w:rsidRPr="00DE08D1" w:rsidRDefault="00DE08D1" w:rsidP="00C7599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>
              <w:rPr>
                <w:rFonts w:eastAsia="Arial Unicode MS"/>
                <w:bdr w:val="nil"/>
                <w:lang w:val="en-GB"/>
              </w:rPr>
              <w:t>A p</w:t>
            </w:r>
            <w:r w:rsidR="00016DA9" w:rsidRPr="00DE08D1">
              <w:rPr>
                <w:rFonts w:eastAsia="Arial Unicode MS"/>
                <w:bdr w:val="nil"/>
                <w:lang w:val="en-GB"/>
              </w:rPr>
              <w:t xml:space="preserve">resentation on </w:t>
            </w:r>
            <w:r>
              <w:rPr>
                <w:rFonts w:eastAsia="Arial Unicode MS"/>
                <w:bdr w:val="nil"/>
                <w:lang w:val="en-GB"/>
              </w:rPr>
              <w:t>status of aflatoxin problem and the New AGRA-funded project</w:t>
            </w:r>
          </w:p>
          <w:p w:rsidR="0020503D" w:rsidRPr="0020503D" w:rsidRDefault="00D16353" w:rsidP="0020503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>
              <w:rPr>
                <w:rFonts w:eastAsia="Arial Unicode MS"/>
                <w:bdr w:val="nil"/>
                <w:lang w:val="en-GB"/>
              </w:rPr>
              <w:t xml:space="preserve">Remarks by Minister for MESTI and </w:t>
            </w:r>
            <w:r w:rsidR="00DE08D1">
              <w:rPr>
                <w:rFonts w:eastAsia="Arial Unicode MS"/>
                <w:bdr w:val="nil"/>
                <w:lang w:val="en-GB"/>
              </w:rPr>
              <w:t>Inauguration of the Committee</w:t>
            </w:r>
            <w:r w:rsidR="0020503D" w:rsidRPr="0020503D">
              <w:rPr>
                <w:rFonts w:eastAsia="Arial Unicode MS"/>
                <w:bdr w:val="nil"/>
                <w:lang w:val="en-GB"/>
              </w:rPr>
              <w:t xml:space="preserve"> </w:t>
            </w:r>
          </w:p>
          <w:p w:rsidR="0020503D" w:rsidRPr="0020503D" w:rsidRDefault="00D16353" w:rsidP="00D1635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dr w:val="nil"/>
                <w:lang w:val="en-GB"/>
              </w:rPr>
            </w:pPr>
            <w:r>
              <w:rPr>
                <w:rFonts w:eastAsia="Arial Unicode MS"/>
                <w:bdr w:val="nil"/>
                <w:lang w:val="en-GB"/>
              </w:rPr>
              <w:t xml:space="preserve">Committee’s first meeting to propose and elect executives for the Committee and to develop the terms of reference </w:t>
            </w:r>
            <w:r w:rsidR="00DE08D1">
              <w:rPr>
                <w:rFonts w:eastAsia="Arial Unicode MS"/>
                <w:bdr w:val="nil"/>
                <w:lang w:val="en-GB"/>
              </w:rPr>
              <w:t xml:space="preserve"> </w:t>
            </w:r>
          </w:p>
        </w:tc>
      </w:tr>
      <w:tr w:rsidR="00B10941" w:rsidRPr="00564FFC" w:rsidTr="003F7266">
        <w:trPr>
          <w:trHeight w:val="702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35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center"/>
              <w:outlineLvl w:val="0"/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</w:pPr>
            <w:r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>Location</w:t>
            </w:r>
            <w:r w:rsidR="0035738F"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>,</w:t>
            </w:r>
            <w:r w:rsidR="00C75998"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 xml:space="preserve"> Date</w:t>
            </w:r>
            <w:r w:rsidR="0035738F"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 xml:space="preserve"> &amp; Time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1E" w:rsidRPr="00564FFC" w:rsidRDefault="00D16353" w:rsidP="00053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</w:pPr>
            <w:r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>Conference Room, CSIR-STEPRI</w:t>
            </w:r>
            <w:r w:rsidR="00A7401E" w:rsidRPr="00564FFC"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 xml:space="preserve">, </w:t>
            </w:r>
            <w:r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 xml:space="preserve">Accra, Behind Golden Tulip Hotel Off </w:t>
            </w:r>
            <w:proofErr w:type="spellStart"/>
            <w:r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>Opeibea</w:t>
            </w:r>
            <w:proofErr w:type="spellEnd"/>
            <w:r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 xml:space="preserve"> Bypass</w:t>
            </w:r>
          </w:p>
          <w:p w:rsidR="00BF3FEB" w:rsidRPr="00564FFC" w:rsidRDefault="00FB3946" w:rsidP="00F160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</w:pPr>
            <w:r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 xml:space="preserve">Date: </w:t>
            </w:r>
            <w:r w:rsidR="00D16353"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>12</w:t>
            </w:r>
            <w:r w:rsidR="00BF3FEB" w:rsidRPr="00564FFC">
              <w:rPr>
                <w:rFonts w:eastAsia="Calibri"/>
                <w:color w:val="000000"/>
                <w:u w:color="000000"/>
                <w:bdr w:val="nil"/>
                <w:vertAlign w:val="superscript"/>
                <w:lang w:val="en-GB" w:eastAsia="en-GB"/>
              </w:rPr>
              <w:t>th</w:t>
            </w:r>
            <w:r w:rsidR="00BF3FEB" w:rsidRPr="00564FFC"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 xml:space="preserve"> </w:t>
            </w:r>
            <w:r w:rsidR="00F1605C"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>Dec</w:t>
            </w:r>
            <w:r w:rsidR="00D16353"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>ember</w:t>
            </w:r>
            <w:r w:rsidR="00A7401E" w:rsidRPr="00564FFC"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>, 201</w:t>
            </w:r>
            <w:r w:rsidR="00CD024A"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>8</w:t>
            </w:r>
            <w:r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 xml:space="preserve"> </w:t>
            </w:r>
            <w:r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ab/>
            </w:r>
            <w:r>
              <w:rPr>
                <w:rFonts w:eastAsia="Calibri"/>
                <w:color w:val="000000"/>
                <w:u w:color="000000"/>
                <w:bdr w:val="nil"/>
                <w:lang w:val="en-GB" w:eastAsia="en-GB"/>
              </w:rPr>
              <w:tab/>
              <w:t>Time: 9.30 a.m.</w:t>
            </w:r>
          </w:p>
        </w:tc>
      </w:tr>
      <w:tr w:rsidR="00B10941" w:rsidRPr="00564FFC" w:rsidTr="003F7266">
        <w:trPr>
          <w:trHeight w:val="468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B10941" w:rsidP="00B1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center"/>
              <w:outlineLvl w:val="0"/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</w:pPr>
            <w:r w:rsidRPr="00564FFC">
              <w:rPr>
                <w:rFonts w:eastAsia="Calibri"/>
                <w:b/>
                <w:bCs/>
                <w:color w:val="008000"/>
                <w:u w:color="008000"/>
                <w:bdr w:val="nil"/>
                <w:lang w:val="en-GB" w:eastAsia="en-GB"/>
              </w:rPr>
              <w:t>Duration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41" w:rsidRPr="00564FFC" w:rsidRDefault="00CD024A" w:rsidP="00CD02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eastAsia="Arial Unicode MS"/>
                <w:u w:color="000000"/>
                <w:bdr w:val="nil"/>
                <w:lang w:val="en-GB" w:eastAsia="en-GB"/>
              </w:rPr>
            </w:pPr>
            <w:r>
              <w:rPr>
                <w:rFonts w:eastAsia="Arial Unicode MS"/>
                <w:u w:color="000000"/>
                <w:bdr w:val="nil"/>
                <w:lang w:val="en-GB" w:eastAsia="en-GB"/>
              </w:rPr>
              <w:t>One day</w:t>
            </w:r>
          </w:p>
        </w:tc>
      </w:tr>
    </w:tbl>
    <w:p w:rsidR="00031710" w:rsidRPr="00564FFC" w:rsidRDefault="00031710">
      <w:pPr>
        <w:rPr>
          <w:lang w:val="en-GB"/>
        </w:rPr>
      </w:pPr>
    </w:p>
    <w:sectPr w:rsidR="00031710" w:rsidRPr="00564F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18" w:rsidRDefault="008F0218" w:rsidP="00EB3A23">
      <w:r>
        <w:separator/>
      </w:r>
    </w:p>
  </w:endnote>
  <w:endnote w:type="continuationSeparator" w:id="0">
    <w:p w:rsidR="008F0218" w:rsidRDefault="008F0218" w:rsidP="00EB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607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266" w:rsidRDefault="003F72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266" w:rsidRDefault="003F7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18" w:rsidRDefault="008F0218" w:rsidP="00EB3A23">
      <w:r>
        <w:separator/>
      </w:r>
    </w:p>
  </w:footnote>
  <w:footnote w:type="continuationSeparator" w:id="0">
    <w:p w:rsidR="008F0218" w:rsidRDefault="008F0218" w:rsidP="00EB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8B" w:rsidRDefault="0084178B">
    <w:pPr>
      <w:pStyle w:val="Header"/>
    </w:pPr>
  </w:p>
  <w:p w:rsidR="00EB3A23" w:rsidRDefault="000C760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05B1AEF" wp14:editId="72252D5F">
          <wp:simplePos x="0" y="0"/>
          <wp:positionH relativeFrom="column">
            <wp:posOffset>1981200</wp:posOffset>
          </wp:positionH>
          <wp:positionV relativeFrom="paragraph">
            <wp:posOffset>-449580</wp:posOffset>
          </wp:positionV>
          <wp:extent cx="866775" cy="914400"/>
          <wp:effectExtent l="0" t="0" r="9525" b="0"/>
          <wp:wrapSquare wrapText="bothSides"/>
          <wp:docPr id="1" name="Picture 3" descr="http://www.csir-iir.org/images/iir%2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www.csir-iir.org/images/iir%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65F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D1F"/>
    <w:multiLevelType w:val="hybridMultilevel"/>
    <w:tmpl w:val="553A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E25"/>
    <w:multiLevelType w:val="hybridMultilevel"/>
    <w:tmpl w:val="6E4C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F66"/>
    <w:multiLevelType w:val="hybridMultilevel"/>
    <w:tmpl w:val="308E0DA0"/>
    <w:lvl w:ilvl="0" w:tplc="4CB67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815"/>
    <w:multiLevelType w:val="hybridMultilevel"/>
    <w:tmpl w:val="BCB2A1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8C4"/>
    <w:multiLevelType w:val="hybridMultilevel"/>
    <w:tmpl w:val="6348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19F3"/>
    <w:multiLevelType w:val="hybridMultilevel"/>
    <w:tmpl w:val="883AC4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359FB"/>
    <w:multiLevelType w:val="hybridMultilevel"/>
    <w:tmpl w:val="67CA28D8"/>
    <w:lvl w:ilvl="0" w:tplc="049E7C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3A8"/>
    <w:multiLevelType w:val="hybridMultilevel"/>
    <w:tmpl w:val="9FDA1EFA"/>
    <w:lvl w:ilvl="0" w:tplc="6518DF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C7642"/>
    <w:multiLevelType w:val="hybridMultilevel"/>
    <w:tmpl w:val="3A66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667E"/>
    <w:multiLevelType w:val="hybridMultilevel"/>
    <w:tmpl w:val="C80E3AEA"/>
    <w:lvl w:ilvl="0" w:tplc="6518DF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55EF6"/>
    <w:multiLevelType w:val="hybridMultilevel"/>
    <w:tmpl w:val="B42808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9407F"/>
    <w:multiLevelType w:val="hybridMultilevel"/>
    <w:tmpl w:val="398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D97"/>
    <w:multiLevelType w:val="hybridMultilevel"/>
    <w:tmpl w:val="B72A55E4"/>
    <w:lvl w:ilvl="0" w:tplc="B45CA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60B32"/>
    <w:multiLevelType w:val="hybridMultilevel"/>
    <w:tmpl w:val="D34E0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671DA"/>
    <w:multiLevelType w:val="hybridMultilevel"/>
    <w:tmpl w:val="213AF37C"/>
    <w:lvl w:ilvl="0" w:tplc="FE10517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416F6"/>
    <w:multiLevelType w:val="hybridMultilevel"/>
    <w:tmpl w:val="B3DCB4A6"/>
    <w:lvl w:ilvl="0" w:tplc="EE586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80D35"/>
    <w:multiLevelType w:val="hybridMultilevel"/>
    <w:tmpl w:val="993E8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660B"/>
    <w:multiLevelType w:val="hybridMultilevel"/>
    <w:tmpl w:val="0FC451BA"/>
    <w:lvl w:ilvl="0" w:tplc="FE10517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D3002"/>
    <w:multiLevelType w:val="hybridMultilevel"/>
    <w:tmpl w:val="D7DE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C474F"/>
    <w:multiLevelType w:val="hybridMultilevel"/>
    <w:tmpl w:val="CA6E663E"/>
    <w:lvl w:ilvl="0" w:tplc="FE10517A">
      <w:numFmt w:val="bullet"/>
      <w:lvlText w:val="•"/>
      <w:lvlJc w:val="left"/>
      <w:pPr>
        <w:ind w:left="1863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8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41"/>
    <w:rsid w:val="00016DA9"/>
    <w:rsid w:val="00031710"/>
    <w:rsid w:val="0005041E"/>
    <w:rsid w:val="00052BEF"/>
    <w:rsid w:val="0005303F"/>
    <w:rsid w:val="000535D5"/>
    <w:rsid w:val="00071E44"/>
    <w:rsid w:val="00075174"/>
    <w:rsid w:val="00090F9F"/>
    <w:rsid w:val="000C7602"/>
    <w:rsid w:val="00116FD6"/>
    <w:rsid w:val="00180A1E"/>
    <w:rsid w:val="001A2C92"/>
    <w:rsid w:val="001D20AD"/>
    <w:rsid w:val="001E5FA8"/>
    <w:rsid w:val="001E7DBD"/>
    <w:rsid w:val="0020503D"/>
    <w:rsid w:val="00217BFD"/>
    <w:rsid w:val="00224F32"/>
    <w:rsid w:val="002A0210"/>
    <w:rsid w:val="002C04DF"/>
    <w:rsid w:val="0033482E"/>
    <w:rsid w:val="003360F3"/>
    <w:rsid w:val="0035738F"/>
    <w:rsid w:val="00386543"/>
    <w:rsid w:val="003A54BA"/>
    <w:rsid w:val="003F7266"/>
    <w:rsid w:val="00463618"/>
    <w:rsid w:val="004C089A"/>
    <w:rsid w:val="004C0D2E"/>
    <w:rsid w:val="004D52AC"/>
    <w:rsid w:val="004E326C"/>
    <w:rsid w:val="004E5D2D"/>
    <w:rsid w:val="00505F86"/>
    <w:rsid w:val="0052255A"/>
    <w:rsid w:val="005236D9"/>
    <w:rsid w:val="00545E49"/>
    <w:rsid w:val="005572EF"/>
    <w:rsid w:val="00564FFC"/>
    <w:rsid w:val="005728B4"/>
    <w:rsid w:val="005C4EBF"/>
    <w:rsid w:val="00632BA0"/>
    <w:rsid w:val="007040AF"/>
    <w:rsid w:val="00750D50"/>
    <w:rsid w:val="007A5955"/>
    <w:rsid w:val="007B2A1E"/>
    <w:rsid w:val="007E4E7E"/>
    <w:rsid w:val="008170A0"/>
    <w:rsid w:val="00840471"/>
    <w:rsid w:val="0084178B"/>
    <w:rsid w:val="008909A4"/>
    <w:rsid w:val="008E42B7"/>
    <w:rsid w:val="008F0218"/>
    <w:rsid w:val="00946349"/>
    <w:rsid w:val="009463CA"/>
    <w:rsid w:val="009902C6"/>
    <w:rsid w:val="009909D0"/>
    <w:rsid w:val="00997E8B"/>
    <w:rsid w:val="009B6DB3"/>
    <w:rsid w:val="009E743F"/>
    <w:rsid w:val="009F297B"/>
    <w:rsid w:val="00A63FC3"/>
    <w:rsid w:val="00A67F7F"/>
    <w:rsid w:val="00A7401E"/>
    <w:rsid w:val="00A76F4A"/>
    <w:rsid w:val="00AA30E4"/>
    <w:rsid w:val="00AE1A0A"/>
    <w:rsid w:val="00AF68AB"/>
    <w:rsid w:val="00B03501"/>
    <w:rsid w:val="00B06DB3"/>
    <w:rsid w:val="00B10941"/>
    <w:rsid w:val="00B361CE"/>
    <w:rsid w:val="00B75B14"/>
    <w:rsid w:val="00B93F92"/>
    <w:rsid w:val="00B93FF6"/>
    <w:rsid w:val="00BB26BD"/>
    <w:rsid w:val="00BE1022"/>
    <w:rsid w:val="00BE1288"/>
    <w:rsid w:val="00BE2D50"/>
    <w:rsid w:val="00BF3FEB"/>
    <w:rsid w:val="00C013B9"/>
    <w:rsid w:val="00C20545"/>
    <w:rsid w:val="00C23471"/>
    <w:rsid w:val="00C2591D"/>
    <w:rsid w:val="00C46FE4"/>
    <w:rsid w:val="00C75998"/>
    <w:rsid w:val="00C7626A"/>
    <w:rsid w:val="00CD024A"/>
    <w:rsid w:val="00CE5B0A"/>
    <w:rsid w:val="00CF3584"/>
    <w:rsid w:val="00D16353"/>
    <w:rsid w:val="00DB125E"/>
    <w:rsid w:val="00DD186C"/>
    <w:rsid w:val="00DE08D1"/>
    <w:rsid w:val="00E11F0E"/>
    <w:rsid w:val="00E16175"/>
    <w:rsid w:val="00EB3A23"/>
    <w:rsid w:val="00EC465F"/>
    <w:rsid w:val="00F1605C"/>
    <w:rsid w:val="00F313B2"/>
    <w:rsid w:val="00F538DB"/>
    <w:rsid w:val="00F61B1D"/>
    <w:rsid w:val="00F75B56"/>
    <w:rsid w:val="00F83092"/>
    <w:rsid w:val="00FB3946"/>
    <w:rsid w:val="00FC1774"/>
    <w:rsid w:val="00FD77BE"/>
    <w:rsid w:val="00FE0CC1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F2F9"/>
  <w15:docId w15:val="{D35FE1CD-A396-47D7-A52A-1685A2E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626A"/>
    <w:pPr>
      <w:ind w:left="720"/>
      <w:contextualSpacing/>
    </w:pPr>
  </w:style>
  <w:style w:type="table" w:styleId="TableGrid">
    <w:name w:val="Table Grid"/>
    <w:basedOn w:val="TableNormal"/>
    <w:uiPriority w:val="59"/>
    <w:rsid w:val="0003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rsid w:val="00031710"/>
    <w:pPr>
      <w:spacing w:after="160" w:line="276" w:lineRule="auto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3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A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A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Omari</dc:creator>
  <cp:lastModifiedBy>Rose Omari</cp:lastModifiedBy>
  <cp:revision>3</cp:revision>
  <cp:lastPrinted>2016-10-19T10:33:00Z</cp:lastPrinted>
  <dcterms:created xsi:type="dcterms:W3CDTF">2018-12-03T14:31:00Z</dcterms:created>
  <dcterms:modified xsi:type="dcterms:W3CDTF">2018-12-06T09:43:00Z</dcterms:modified>
</cp:coreProperties>
</file>